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17" w:rsidRDefault="00117A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7A17" w:rsidRDefault="00117A17">
      <w:pPr>
        <w:pStyle w:val="ConsPlusNormal"/>
        <w:jc w:val="both"/>
        <w:outlineLvl w:val="0"/>
      </w:pPr>
    </w:p>
    <w:p w:rsidR="00117A17" w:rsidRDefault="00117A17">
      <w:pPr>
        <w:pStyle w:val="ConsPlusTitle"/>
        <w:jc w:val="center"/>
        <w:outlineLvl w:val="0"/>
      </w:pPr>
      <w:r>
        <w:t>ГОСУДАРСТВЕННАЯ ЖИЛИЩНАЯ ИНСПЕКЦИЯ КИРОВСКОЙ ОБЛАСТИ</w:t>
      </w:r>
    </w:p>
    <w:p w:rsidR="00117A17" w:rsidRDefault="00117A17">
      <w:pPr>
        <w:pStyle w:val="ConsPlusTitle"/>
        <w:jc w:val="both"/>
      </w:pPr>
    </w:p>
    <w:p w:rsidR="00117A17" w:rsidRDefault="00117A17">
      <w:pPr>
        <w:pStyle w:val="ConsPlusTitle"/>
        <w:jc w:val="center"/>
      </w:pPr>
      <w:r>
        <w:t>РАСПОРЯЖЕНИЕ</w:t>
      </w:r>
    </w:p>
    <w:p w:rsidR="00117A17" w:rsidRDefault="00117A17">
      <w:pPr>
        <w:pStyle w:val="ConsPlusTitle"/>
        <w:jc w:val="center"/>
      </w:pPr>
      <w:r>
        <w:t>от 21 июня 2024 г. N 2</w:t>
      </w:r>
    </w:p>
    <w:p w:rsidR="00117A17" w:rsidRDefault="00117A17">
      <w:pPr>
        <w:pStyle w:val="ConsPlusTitle"/>
        <w:jc w:val="both"/>
      </w:pPr>
    </w:p>
    <w:p w:rsidR="00117A17" w:rsidRDefault="00117A17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117A17" w:rsidRDefault="00117A17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117A17" w:rsidRDefault="00117A17">
      <w:pPr>
        <w:pStyle w:val="ConsPlusTitle"/>
        <w:jc w:val="center"/>
      </w:pPr>
      <w:r>
        <w:t>ГОСУДАРСТВЕННОЙ ЖИЛИЩНОЙ ИНСПЕКЦИИ КИРОВСКОЙ ОБЛАСТИ</w:t>
      </w:r>
    </w:p>
    <w:p w:rsidR="00117A17" w:rsidRDefault="00117A17">
      <w:pPr>
        <w:pStyle w:val="ConsPlusTitle"/>
        <w:jc w:val="center"/>
      </w:pPr>
      <w:r>
        <w:t>И УРЕГУЛИРОВАНИЮ КОНФЛИКТА ИНТЕРЕСОВ</w:t>
      </w:r>
    </w:p>
    <w:p w:rsidR="00117A17" w:rsidRDefault="00117A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7A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государственной жилищной инспекции Кировской области</w:t>
            </w:r>
          </w:p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t>от 19.09.2024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</w:tr>
    </w:tbl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согласно приложению.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2. Контроль за исполнением распоряжения оставляю за собой.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right"/>
      </w:pPr>
      <w:r>
        <w:t>Начальник</w:t>
      </w:r>
    </w:p>
    <w:p w:rsidR="00117A17" w:rsidRDefault="00117A17">
      <w:pPr>
        <w:pStyle w:val="ConsPlusNormal"/>
        <w:jc w:val="right"/>
      </w:pPr>
      <w:r>
        <w:t>государственной жилищной инспекции</w:t>
      </w:r>
    </w:p>
    <w:p w:rsidR="00117A17" w:rsidRDefault="00117A17">
      <w:pPr>
        <w:pStyle w:val="ConsPlusNormal"/>
        <w:jc w:val="right"/>
      </w:pPr>
      <w:r>
        <w:t>Кировской области</w:t>
      </w:r>
    </w:p>
    <w:p w:rsidR="00117A17" w:rsidRDefault="00117A17">
      <w:pPr>
        <w:pStyle w:val="ConsPlusNormal"/>
        <w:jc w:val="right"/>
      </w:pPr>
      <w:r>
        <w:t>А.А.ДУДНИКОВА</w:t>
      </w: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right"/>
        <w:outlineLvl w:val="0"/>
      </w:pPr>
      <w:r>
        <w:t>Приложение</w:t>
      </w: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right"/>
      </w:pPr>
      <w:r>
        <w:t>Утверждено</w:t>
      </w:r>
    </w:p>
    <w:p w:rsidR="00117A17" w:rsidRDefault="00117A17">
      <w:pPr>
        <w:pStyle w:val="ConsPlusNormal"/>
        <w:jc w:val="right"/>
      </w:pPr>
      <w:r>
        <w:t>распоряжением</w:t>
      </w:r>
    </w:p>
    <w:p w:rsidR="00117A17" w:rsidRDefault="00117A17">
      <w:pPr>
        <w:pStyle w:val="ConsPlusNormal"/>
        <w:jc w:val="right"/>
      </w:pPr>
      <w:r>
        <w:t>государственной жилищной инспекции</w:t>
      </w:r>
    </w:p>
    <w:p w:rsidR="00117A17" w:rsidRDefault="00117A17">
      <w:pPr>
        <w:pStyle w:val="ConsPlusNormal"/>
        <w:jc w:val="right"/>
      </w:pPr>
      <w:r>
        <w:t>Кировской области</w:t>
      </w:r>
    </w:p>
    <w:p w:rsidR="00117A17" w:rsidRDefault="00117A17">
      <w:pPr>
        <w:pStyle w:val="ConsPlusNormal"/>
        <w:jc w:val="right"/>
      </w:pPr>
      <w:r>
        <w:t>от 21 июня 2024 г. N 2</w:t>
      </w: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Title"/>
        <w:jc w:val="center"/>
      </w:pPr>
      <w:bookmarkStart w:id="0" w:name="P36"/>
      <w:bookmarkEnd w:id="0"/>
      <w:r>
        <w:t>ПОЛОЖЕНИЕ</w:t>
      </w:r>
    </w:p>
    <w:p w:rsidR="00117A17" w:rsidRDefault="00117A17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17A17" w:rsidRDefault="00117A17">
      <w:pPr>
        <w:pStyle w:val="ConsPlusTitle"/>
        <w:jc w:val="center"/>
      </w:pPr>
      <w:r>
        <w:t>ГОСУДАРСТВЕННЫХ ГРАЖДАНСКИХ СЛУЖАЩИХ ГОСУДАРСТВЕННОЙ</w:t>
      </w:r>
    </w:p>
    <w:p w:rsidR="00117A17" w:rsidRDefault="00117A17">
      <w:pPr>
        <w:pStyle w:val="ConsPlusTitle"/>
        <w:jc w:val="center"/>
      </w:pPr>
      <w:r>
        <w:t>ЖИЛИЩНОЙ ИНСПЕКЦИИ КИРОВСКОЙ ОБЛАСТИ И УРЕГУЛИРОВАНИЮ</w:t>
      </w:r>
    </w:p>
    <w:p w:rsidR="00117A17" w:rsidRDefault="00117A17">
      <w:pPr>
        <w:pStyle w:val="ConsPlusTitle"/>
        <w:jc w:val="center"/>
      </w:pPr>
      <w:r>
        <w:t>КОНФЛИКТА ИНТЕРЕСОВ</w:t>
      </w:r>
    </w:p>
    <w:p w:rsidR="00117A17" w:rsidRDefault="00117A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7A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государственной жилищной инспекции Кировской области</w:t>
            </w:r>
          </w:p>
          <w:p w:rsidR="00117A17" w:rsidRDefault="00117A17">
            <w:pPr>
              <w:pStyle w:val="ConsPlusNormal"/>
              <w:jc w:val="center"/>
            </w:pPr>
            <w:r>
              <w:rPr>
                <w:color w:val="392C69"/>
              </w:rPr>
              <w:t>от 19.09.2024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A17" w:rsidRDefault="00117A17">
            <w:pPr>
              <w:pStyle w:val="ConsPlusNormal"/>
            </w:pPr>
          </w:p>
        </w:tc>
      </w:tr>
    </w:tbl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ind w:firstLine="540"/>
        <w:jc w:val="both"/>
      </w:pPr>
      <w:r>
        <w:t>1. Положением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комиссия).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иными нормативными правовыми актами Кировской области и настоящим Положением.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государственной жилищной инспекции Кировской области (далее - инспекция):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3.1. В обеспечении соблюдения государственными гражданскими служащими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3.2. В осуществлении в инспекции мер по предупреждению коррупции.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 инспекции (за исключением гражданских служащих, замещающих должности начальника инспекции, заместителей начальника инспекции).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начальника инспекции, заместителей начальника инспекции рассматриваются соответствующей комиссией администрации Губернатора и Правительства Кировской области.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5. Комиссия образуется приказом инспекции.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определяемый начальником инспекции из числа членов комиссии, замещающих должности государственной гражданской службы в инспекции,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6.1. Заместитель начальника инспекции (председатель комиссии).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6.2. Начальник юридического отдела (заместитель председателя комиссии).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6.3. Гражданский служащий инспекции, ответственный за работу по профилактике </w:t>
      </w:r>
      <w:r>
        <w:lastRenderedPageBreak/>
        <w:t>коррупционных и иных правонарушений (секретарь комиссии).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6.4. Гражданские служащие из других подразделений инспекции, определяемые начальником инспекции.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" w:name="P59"/>
      <w:bookmarkEnd w:id="1"/>
      <w: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" w:name="P60"/>
      <w:bookmarkEnd w:id="2"/>
      <w:r>
        <w:t>6.6. 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3" w:name="P61"/>
      <w:bookmarkEnd w:id="3"/>
      <w:r>
        <w:t>7. Начальник инспекции может принять решение о включении в состав комиссии: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представителя Общественного совета при инспекции;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представителя общественной организации ветеранов (при ее создании в инспекции);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представителя профсоюзной организации, действующей в установленном порядке в инспекции (при ее наличии).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59">
        <w:r>
          <w:rPr>
            <w:color w:val="0000FF"/>
          </w:rPr>
          <w:t>подпунктах 6.5</w:t>
        </w:r>
      </w:hyperlink>
      <w:r>
        <w:t xml:space="preserve">, </w:t>
      </w:r>
      <w:hyperlink w:anchor="P60">
        <w:r>
          <w:rPr>
            <w:color w:val="0000FF"/>
          </w:rPr>
          <w:t>6.6 пункта 6</w:t>
        </w:r>
      </w:hyperlink>
      <w:r>
        <w:t xml:space="preserve"> и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инспекции, с общественной организацией ветеранов, созданной в инспекции, с первичной профсоюзной организацией, действующей в установленном порядке в инспекции, с администрацией Губернатора и Правительства Кировской области на основании запроса начальника инспекции. Согласование осуществляется в 10-дневный срок со дня получения запроса.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инспекции, должно составлять не менее одной четверти от общего числа членов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11.1.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11.2. Другие гражданские служащие, замещающие должности государственной гражданской службы в инспекции;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</w:t>
      </w:r>
      <w:r>
        <w:lastRenderedPageBreak/>
        <w:t>рассматривается этот вопрос, или любого члена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инспекции, недопустимо.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14. Основаниями для проведения заседания комиссии являются: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14.1. Представление начальником инспекции в соответствии с </w:t>
      </w:r>
      <w:hyperlink r:id="rId11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 (далее - Положение, утвержденное Указом Губернатора области от 15.12.2009 N 120), материалов проверки, свидетельствующих: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7" w:name="P75"/>
      <w:bookmarkEnd w:id="7"/>
      <w:r>
        <w:t xml:space="preserve">о представлении государственным гражданским служащим недостоверных или неполных сведений, предусмотренных </w:t>
      </w:r>
      <w:hyperlink r:id="rId12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120;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8" w:name="P76"/>
      <w:bookmarkEnd w:id="8"/>
      <w: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9" w:name="P77"/>
      <w:bookmarkEnd w:id="9"/>
      <w:r>
        <w:t>14.2. Поступившее в инспекцию в установленном порядке: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письменное обращение гражданина, замещавшего в инспекции должность государственной гражданской службы, включенную в перечень должностей государственной гражданской службы инспекции,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детей, утвержденный приказом инспекции,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 xml:space="preserve">заявление государственного гражданского служащего о невозможности выполнить требования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lastRenderedPageBreak/>
        <w:t>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4" w:name="P82"/>
      <w:bookmarkEnd w:id="14"/>
      <w:r>
        <w:t>14.3. Представление начальника инспекции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инспекции мер по предупреждению коррупции.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 xml:space="preserve">14.4. Представление начальником инспекции материалов проверки, свидетельствующих о представлении государственным гражданским служащим недостоверных или неполных сведений, предусмотренных </w:t>
      </w:r>
      <w:hyperlink r:id="rId1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6" w:name="P84"/>
      <w:bookmarkEnd w:id="16"/>
      <w:r>
        <w:t xml:space="preserve">14.5. Поступившее в соответствии с </w:t>
      </w:r>
      <w:hyperlink r:id="rId1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1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инспекцию уведомление коммерческой или некоммерческой организации о заключении с гражданином, замещавшим должность государственной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инспекции,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7" w:name="P85"/>
      <w:bookmarkEnd w:id="17"/>
      <w:r>
        <w:t>14.6. Уведомление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8" w:name="P87"/>
      <w:bookmarkEnd w:id="18"/>
      <w:r>
        <w:t xml:space="preserve">15.1. Обращение,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в инспекции, государственному гражданскому служащему,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</w:t>
      </w:r>
      <w:r>
        <w:lastRenderedPageBreak/>
        <w:t xml:space="preserve">выполнение (оказание) по договору работ (услуг). Государственный гражданский служащий, ответственный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15.2. Обращение,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 xml:space="preserve">15.3. Уведомление, указанное в </w:t>
      </w:r>
      <w:hyperlink w:anchor="P84">
        <w:r>
          <w:rPr>
            <w:color w:val="0000FF"/>
          </w:rPr>
          <w:t>подпункте 14.5 пункта 14</w:t>
        </w:r>
      </w:hyperlink>
      <w:r>
        <w:t xml:space="preserve"> настоящего Положения, рассматривается гражданским служащим,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государственной гражданской службы в инспекции, требований </w:t>
      </w:r>
      <w:hyperlink r:id="rId1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 xml:space="preserve">15.4. Уведомления, указанные в </w:t>
      </w:r>
      <w:hyperlink w:anchor="P81">
        <w:r>
          <w:rPr>
            <w:color w:val="0000FF"/>
          </w:rPr>
          <w:t>абзаце пятом подпункта 14.2</w:t>
        </w:r>
      </w:hyperlink>
      <w:r>
        <w:t xml:space="preserve"> и </w:t>
      </w:r>
      <w:hyperlink w:anchor="P85">
        <w:r>
          <w:rPr>
            <w:color w:val="0000FF"/>
          </w:rPr>
          <w:t>подпункте 14.6 пункта 14</w:t>
        </w:r>
      </w:hyperlink>
      <w:r>
        <w:t xml:space="preserve"> настоящего Положения, рассматриваются гражданским служащим, ответственным за работу по профилактике коррупционных и иных правонарушений, который осуществляет подготовку мотивированных заключений по результаты рассмотрения уведомлений.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15.5. При подготовке мотивированного заключения по результатам рассмотрения обращения,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или уведомлений, указанных в </w:t>
      </w:r>
      <w:hyperlink w:anchor="P81">
        <w:r>
          <w:rPr>
            <w:color w:val="0000FF"/>
          </w:rPr>
          <w:t>абзаце пятом подпункта 14.2</w:t>
        </w:r>
      </w:hyperlink>
      <w:r>
        <w:t xml:space="preserve"> и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государственный гражданский служащий, ответственный за профилактику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начальник инспекции или лицо, исполняющее обязанности начальника инспекции,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7A17" w:rsidRDefault="00117A1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государственной жилищной инспекции Кировской области от 19.09.2024 N 5)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15.6. Мотивированные заключения, предусмотренные </w:t>
      </w:r>
      <w:hyperlink w:anchor="P87">
        <w:r>
          <w:rPr>
            <w:color w:val="0000FF"/>
          </w:rPr>
          <w:t>пунктами 15.1</w:t>
        </w:r>
      </w:hyperlink>
      <w:r>
        <w:t xml:space="preserve">, </w:t>
      </w:r>
      <w:hyperlink w:anchor="P89">
        <w:r>
          <w:rPr>
            <w:color w:val="0000FF"/>
          </w:rPr>
          <w:t>15.3</w:t>
        </w:r>
      </w:hyperlink>
      <w:r>
        <w:t xml:space="preserve"> и </w:t>
      </w:r>
      <w:hyperlink w:anchor="P90">
        <w:r>
          <w:rPr>
            <w:color w:val="0000FF"/>
          </w:rPr>
          <w:t>15.4</w:t>
        </w:r>
      </w:hyperlink>
      <w:r>
        <w:t xml:space="preserve"> настоящего Положения, должны содержать: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81">
        <w:r>
          <w:rPr>
            <w:color w:val="0000FF"/>
          </w:rPr>
          <w:t>пятом подпункта 14.2</w:t>
        </w:r>
      </w:hyperlink>
      <w:r>
        <w:t xml:space="preserve">,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Положения;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81">
        <w:r>
          <w:rPr>
            <w:color w:val="0000FF"/>
          </w:rPr>
          <w:t>пятом подпункта 14.2</w:t>
        </w:r>
      </w:hyperlink>
      <w:r>
        <w:t xml:space="preserve">,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16">
        <w:r>
          <w:rPr>
            <w:color w:val="0000FF"/>
          </w:rPr>
          <w:t>пунктами 25</w:t>
        </w:r>
      </w:hyperlink>
      <w:r>
        <w:t xml:space="preserve">, </w:t>
      </w:r>
      <w:hyperlink w:anchor="P129">
        <w:r>
          <w:rPr>
            <w:color w:val="0000FF"/>
          </w:rPr>
          <w:t>29</w:t>
        </w:r>
      </w:hyperlink>
      <w:r>
        <w:t xml:space="preserve">, </w:t>
      </w:r>
      <w:hyperlink w:anchor="P133">
        <w:r>
          <w:rPr>
            <w:color w:val="0000FF"/>
          </w:rPr>
          <w:t>30</w:t>
        </w:r>
      </w:hyperlink>
      <w:r>
        <w:t xml:space="preserve">, </w:t>
      </w:r>
      <w:hyperlink w:anchor="P137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lastRenderedPageBreak/>
        <w:t>16.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16.1.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2">
        <w:r>
          <w:rPr>
            <w:color w:val="0000FF"/>
          </w:rPr>
          <w:t>пунктами 18</w:t>
        </w:r>
      </w:hyperlink>
      <w:r>
        <w:t xml:space="preserve"> и </w:t>
      </w:r>
      <w:hyperlink w:anchor="P103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16.2.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инспекцию, и с результатами ее проверки.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16.3. Рассматривает ходатайства о приглашении на заседание комиссии лиц, указанных в </w:t>
      </w:r>
      <w:hyperlink w:anchor="P70">
        <w:r>
          <w:rPr>
            <w:color w:val="0000FF"/>
          </w:rPr>
          <w:t>подпункте 11.2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17. Письменное обращение гражданина,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>, комиссия рассматривает в течение семи дней со дня его поступления в порядке, устанавливаемом нормативными правовыми актами Российской Федерации. О принятом решении комиссия направляет гражданину письменное уведомление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комиссии, и уведомляет его устно в течение трех рабочих дней.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1" w:name="P102"/>
      <w:bookmarkEnd w:id="21"/>
      <w:r>
        <w:t xml:space="preserve">18. Заседание комиссии по рассмотрению заявлений, указанных в </w:t>
      </w:r>
      <w:hyperlink w:anchor="P7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0">
        <w:r>
          <w:rPr>
            <w:color w:val="0000FF"/>
          </w:rPr>
          <w:t>четвертом подпункта 14.2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2" w:name="P103"/>
      <w:bookmarkEnd w:id="22"/>
      <w:r>
        <w:t xml:space="preserve">19. Уведомления, указанные в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инспекции.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7">
        <w:r>
          <w:rPr>
            <w:color w:val="0000FF"/>
          </w:rPr>
          <w:t>подпунктами 14.2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20.1. Заседания комиссии могут проводиться в отсутствие гражданского служащего или гражданина в случае: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7">
        <w:r>
          <w:rPr>
            <w:color w:val="0000FF"/>
          </w:rPr>
          <w:t>подпунктами 14.2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21. На заседании комиссии заслушиваются пояснения гражданского служащего или гражданина, замещавшего должность государственной гражданской службы (с их согласия), и </w:t>
      </w:r>
      <w: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75">
        <w:r>
          <w:rPr>
            <w:color w:val="0000FF"/>
          </w:rPr>
          <w:t>абзаце втором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23.1. Установить, что сведения, представленные гражданским служащим в соответствии с </w:t>
      </w:r>
      <w:hyperlink r:id="rId20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достоверными и полными.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23.2. Установить, что сведения, представленные гражданским служащим в соответствии с </w:t>
      </w:r>
      <w:hyperlink r:id="rId21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недостоверными и (или) неполными. В этом случае комиссия рекомендует начальнику инспекции (представителю нанимателя) применить к гражданскому служащему конкретную меру ответственности.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76">
        <w:r>
          <w:rPr>
            <w:color w:val="0000FF"/>
          </w:rPr>
          <w:t>абзаце третьем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24.1. 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24.2.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3" w:name="P116"/>
      <w:bookmarkEnd w:id="23"/>
      <w:r>
        <w:t xml:space="preserve">25.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25.1.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25.2.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79">
        <w:r>
          <w:rPr>
            <w:color w:val="0000FF"/>
          </w:rPr>
          <w:t>абзаце третьем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26.1.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26.2.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26.3.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80">
        <w:r>
          <w:rPr>
            <w:color w:val="0000FF"/>
          </w:rPr>
          <w:t>абзаце четвертом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27.1. Признать, что обстоятельства, препятствующие выполнению требований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07.05.2013 N 79-ФЗ, являются объективными и уважительными.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27.2. Признать, что обстоятельства, препятствующие выполнению требований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07.05.2013 N 79-ФЗ, не являются объективными и уважительными,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3">
        <w:r>
          <w:rPr>
            <w:color w:val="0000FF"/>
          </w:rPr>
          <w:t>подпункте 14.4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28.1. Признать, что сведения, представленные гражданским служащим в соответствии с </w:t>
      </w:r>
      <w:hyperlink r:id="rId2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28.2. Признать, что сведения, представленные гражданским служащим в соответствии с </w:t>
      </w:r>
      <w:hyperlink r:id="rId25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начальнику инспекции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4" w:name="P129"/>
      <w:bookmarkEnd w:id="24"/>
      <w:r>
        <w:t xml:space="preserve">29. По итогам рассмотрения вопроса, указанного в </w:t>
      </w:r>
      <w:hyperlink w:anchor="P81">
        <w:r>
          <w:rPr>
            <w:color w:val="0000FF"/>
          </w:rPr>
          <w:t>абзаце пятом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29.1. Признать, что при исполнении гражданским служащим должностных обязанностей конфликт интересов отсутствует.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29.2.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инспекции принять меры по урегулированию конфликта интересов или по недопущению его возникновения.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29.3. Признать, что гражданский служащий не соблюдал требования об урегулировании конфликта интересов.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5" w:name="P133"/>
      <w:bookmarkEnd w:id="25"/>
      <w:r>
        <w:t xml:space="preserve">30. По итогам рассмотрения вопроса, указанного в </w:t>
      </w:r>
      <w:hyperlink w:anchor="P85">
        <w:r>
          <w:rPr>
            <w:color w:val="0000FF"/>
          </w:rPr>
          <w:t>подпункте 14.6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30.1.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lastRenderedPageBreak/>
        <w:t>30.2.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74">
        <w:r>
          <w:rPr>
            <w:color w:val="0000FF"/>
          </w:rPr>
          <w:t>подпунктах 14.1</w:t>
        </w:r>
      </w:hyperlink>
      <w:r>
        <w:t xml:space="preserve">, </w:t>
      </w:r>
      <w:hyperlink w:anchor="P77">
        <w:r>
          <w:rPr>
            <w:color w:val="0000FF"/>
          </w:rPr>
          <w:t>14.2</w:t>
        </w:r>
      </w:hyperlink>
      <w:r>
        <w:t xml:space="preserve">, </w:t>
      </w:r>
      <w:hyperlink w:anchor="P83">
        <w:r>
          <w:rPr>
            <w:color w:val="0000FF"/>
          </w:rPr>
          <w:t>14.4</w:t>
        </w:r>
      </w:hyperlink>
      <w:r>
        <w:t xml:space="preserve">, </w:t>
      </w:r>
      <w:hyperlink w:anchor="P84">
        <w:r>
          <w:rPr>
            <w:color w:val="0000FF"/>
          </w:rPr>
          <w:t>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пунктами 23 - 25, 27 - 30 и 32 настоящего Положения. Основания и мотивы принятия такого решения должны быть отражены в протоколе заседания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bookmarkStart w:id="26" w:name="P137"/>
      <w:bookmarkEnd w:id="26"/>
      <w:r>
        <w:t xml:space="preserve">32. По итогам рассмотрения вопроса, указанного в </w:t>
      </w:r>
      <w:hyperlink w:anchor="P84">
        <w:r>
          <w:rPr>
            <w:color w:val="0000FF"/>
          </w:rPr>
          <w:t>подпункте 14.5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службы, одно из следующих решений: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32.1. 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32.2.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начальнику инспекции проинформировать об указанных обстоятельствах органы прокуратуры и уведомившую организацию.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82">
        <w:r>
          <w:rPr>
            <w:color w:val="0000FF"/>
          </w:rPr>
          <w:t>подпунктом 14.3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34. Для исполнения решений комиссии могут быть подготовлены проекты правовых актов инспекции (представителя нанимателя), решений или поручений начальника инспекции (представителя нанимателя), которые в установленном порядке представляются на рассмотрение начальнику инспекции (представителю нанимателя).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35. Решения комиссии по вопросам, указанным в </w:t>
      </w:r>
      <w:hyperlink w:anchor="P73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для начальника инспекции носят рекомендательный характер. Решение, принимаемое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носит обязательный характер.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 В протоколе заседания комиссии указываются: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37.1. Дата заседания комиссии, фамилии, имена, отчества членов комиссии и других лиц, присутствующих на заседании.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37.2.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37.3. Предъявляемые к гражданскому служащему претензии, материалы, на которых они </w:t>
      </w:r>
      <w:r>
        <w:lastRenderedPageBreak/>
        <w:t>основываются.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37.4. Содержание пояснений гражданского служащего и других лиц по существу предъявляемых претензий.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37.5. Фамилии, имена, отчества выступивших на заседании лиц и краткое изложение их выступлений.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37.6. Источник информации, содержащей основания для проведения заседания комиссии, дата поступления информации в инспекцию.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37.7. Другие сведения.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37.8. Результаты голосования.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37.9. Решение и обоснование его принятия.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38. Член комиссий,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39. Копии протокола заседания комиссии в 7-дневный срок со дня заседания направляются начальнику инспекции, полностью или в виде выписок из него - гражданскому служащему, а также по решению комиссии - иным заинтересованным лицам.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40. Начальник инспекции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уведомляет комиссию в месячный срок со дня поступления к нему протокола заседания комиссии. Решение начальника инспекции оглашается на ближайшем заседании комиссии и принимается к сведению без обсуждения.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41.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инспекции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>43.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t xml:space="preserve">44. Выписка из решения комиссии, заверенная подписью секретаря комиссии и печатью инспекции, вручается гражданину, замещавшему должность государственной гражданской службы в инспекции, в отношении которого рассматривался вопрос, указанный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17A17" w:rsidRDefault="00117A17">
      <w:pPr>
        <w:pStyle w:val="ConsPlusNormal"/>
        <w:spacing w:before="220"/>
        <w:ind w:firstLine="540"/>
        <w:jc w:val="both"/>
      </w:pPr>
      <w:r>
        <w:lastRenderedPageBreak/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jc w:val="both"/>
      </w:pPr>
    </w:p>
    <w:p w:rsidR="00117A17" w:rsidRDefault="00117A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615" w:rsidRDefault="00AC2615">
      <w:bookmarkStart w:id="27" w:name="_GoBack"/>
      <w:bookmarkEnd w:id="27"/>
    </w:p>
    <w:sectPr w:rsidR="00AC2615" w:rsidSect="0051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17"/>
    <w:rsid w:val="00117A17"/>
    <w:rsid w:val="002D5679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7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A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7A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A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266&amp;dst=100005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82878&amp;dst=28" TargetMode="External"/><Relationship Id="rId26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214118&amp;dst=100136" TargetMode="External"/><Relationship Id="rId7" Type="http://schemas.openxmlformats.org/officeDocument/2006/relationships/hyperlink" Target="https://login.consultant.ru/link/?req=doc&amp;base=LAW&amp;n=468056" TargetMode="External"/><Relationship Id="rId12" Type="http://schemas.openxmlformats.org/officeDocument/2006/relationships/hyperlink" Target="https://login.consultant.ru/link/?req=doc&amp;base=RLAW240&amp;n=214118&amp;dst=100136" TargetMode="External"/><Relationship Id="rId17" Type="http://schemas.openxmlformats.org/officeDocument/2006/relationships/hyperlink" Target="https://login.consultant.ru/link/?req=doc&amp;base=LAW&amp;n=482878&amp;dst=28" TargetMode="External"/><Relationship Id="rId25" Type="http://schemas.openxmlformats.org/officeDocument/2006/relationships/hyperlink" Target="https://login.consultant.ru/link/?req=doc&amp;base=LAW&amp;n=442435&amp;dst=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114&amp;dst=1713" TargetMode="External"/><Relationship Id="rId20" Type="http://schemas.openxmlformats.org/officeDocument/2006/relationships/hyperlink" Target="https://login.consultant.ru/link/?req=doc&amp;base=RLAW240&amp;n=214118&amp;dst=1001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3266&amp;dst=100005" TargetMode="External"/><Relationship Id="rId11" Type="http://schemas.openxmlformats.org/officeDocument/2006/relationships/hyperlink" Target="https://login.consultant.ru/link/?req=doc&amp;base=RLAW240&amp;n=214118&amp;dst=100117" TargetMode="External"/><Relationship Id="rId24" Type="http://schemas.openxmlformats.org/officeDocument/2006/relationships/hyperlink" Target="https://login.consultant.ru/link/?req=doc&amp;base=LAW&amp;n=442435&amp;dst=6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878&amp;dst=33" TargetMode="External"/><Relationship Id="rId23" Type="http://schemas.openxmlformats.org/officeDocument/2006/relationships/hyperlink" Target="https://login.consultant.ru/link/?req=doc&amp;base=LAW&amp;n=4517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8" TargetMode="External"/><Relationship Id="rId19" Type="http://schemas.openxmlformats.org/officeDocument/2006/relationships/hyperlink" Target="https://login.consultant.ru/link/?req=doc&amp;base=RLAW240&amp;n=23326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Батаева</dc:creator>
  <cp:lastModifiedBy>Светлана А. Батаева</cp:lastModifiedBy>
  <cp:revision>1</cp:revision>
  <dcterms:created xsi:type="dcterms:W3CDTF">2024-12-02T08:02:00Z</dcterms:created>
  <dcterms:modified xsi:type="dcterms:W3CDTF">2024-12-02T08:04:00Z</dcterms:modified>
</cp:coreProperties>
</file>